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95A" w:rsidRDefault="008F495A" w:rsidP="008F495A">
      <w:pPr>
        <w:spacing w:line="360" w:lineRule="auto"/>
        <w:rPr>
          <w:rFonts w:ascii="黑体" w:eastAsia="黑体"/>
          <w:b/>
          <w:bCs/>
          <w:sz w:val="24"/>
          <w:szCs w:val="24"/>
        </w:rPr>
      </w:pPr>
      <w:r>
        <w:rPr>
          <w:rFonts w:ascii="黑体" w:eastAsia="黑体" w:hint="eastAsia"/>
          <w:b/>
          <w:bCs/>
          <w:sz w:val="24"/>
          <w:szCs w:val="24"/>
        </w:rPr>
        <w:t>附件2：辽宁师范大学财政专项资金建设项目</w:t>
      </w:r>
      <w:r w:rsidRPr="003206C7">
        <w:rPr>
          <w:rFonts w:ascii="黑体" w:eastAsia="黑体"/>
          <w:b/>
          <w:bCs/>
          <w:sz w:val="24"/>
          <w:szCs w:val="24"/>
        </w:rPr>
        <w:t>检查和绩效考评</w:t>
      </w:r>
      <w:r>
        <w:rPr>
          <w:rFonts w:ascii="黑体" w:eastAsia="黑体" w:hint="eastAsia"/>
          <w:b/>
          <w:bCs/>
          <w:sz w:val="24"/>
          <w:szCs w:val="24"/>
        </w:rPr>
        <w:t>打分表（自评）</w:t>
      </w:r>
    </w:p>
    <w:p w:rsidR="0013404D" w:rsidRPr="0013404D" w:rsidRDefault="0013404D" w:rsidP="008F495A">
      <w:pPr>
        <w:spacing w:line="360" w:lineRule="auto"/>
        <w:rPr>
          <w:rFonts w:ascii="黑体" w:eastAsia="黑体"/>
          <w:b/>
          <w:bCs/>
          <w:sz w:val="24"/>
          <w:szCs w:val="24"/>
        </w:rPr>
      </w:pPr>
      <w:r>
        <w:rPr>
          <w:rFonts w:ascii="黑体" w:eastAsia="黑体" w:hint="eastAsia"/>
          <w:b/>
          <w:bCs/>
          <w:sz w:val="24"/>
          <w:szCs w:val="24"/>
        </w:rPr>
        <w:t>学院（盖印）：</w:t>
      </w:r>
    </w:p>
    <w:tbl>
      <w:tblPr>
        <w:tblStyle w:val="a"/>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99"/>
        <w:gridCol w:w="1644"/>
        <w:gridCol w:w="6806"/>
        <w:gridCol w:w="2835"/>
        <w:gridCol w:w="853"/>
        <w:gridCol w:w="737"/>
      </w:tblGrid>
      <w:tr w:rsidR="008F495A" w:rsidRPr="0004290C" w:rsidTr="00B10DD5">
        <w:trPr>
          <w:cantSplit/>
          <w:trHeight w:val="625"/>
        </w:trPr>
        <w:tc>
          <w:tcPr>
            <w:tcW w:w="458"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r w:rsidRPr="0004290C">
              <w:rPr>
                <w:rFonts w:cs="宋体" w:hint="eastAsia"/>
                <w:b/>
                <w:sz w:val="24"/>
                <w:szCs w:val="24"/>
              </w:rPr>
              <w:t>一级指标</w:t>
            </w: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r w:rsidRPr="0004290C">
              <w:rPr>
                <w:rFonts w:cs="宋体" w:hint="eastAsia"/>
                <w:b/>
                <w:sz w:val="24"/>
                <w:szCs w:val="24"/>
              </w:rPr>
              <w:t>二级指标</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jc w:val="center"/>
              <w:rPr>
                <w:rFonts w:cs="宋体"/>
                <w:b/>
                <w:kern w:val="0"/>
                <w:sz w:val="24"/>
                <w:szCs w:val="24"/>
              </w:rPr>
            </w:pPr>
            <w:r w:rsidRPr="0004290C">
              <w:rPr>
                <w:rFonts w:cs="宋体"/>
                <w:b/>
                <w:kern w:val="0"/>
                <w:sz w:val="24"/>
                <w:szCs w:val="24"/>
              </w:rPr>
              <w:t>检查和绩效考评</w:t>
            </w:r>
            <w:r w:rsidRPr="0004290C">
              <w:rPr>
                <w:rFonts w:cs="宋体" w:hint="eastAsia"/>
                <w:b/>
                <w:kern w:val="0"/>
                <w:sz w:val="24"/>
                <w:szCs w:val="24"/>
              </w:rPr>
              <w:t>标准及主要观测点</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r w:rsidRPr="0004290C">
              <w:rPr>
                <w:rFonts w:cs="宋体" w:hint="eastAsia"/>
                <w:b/>
                <w:sz w:val="24"/>
                <w:szCs w:val="24"/>
              </w:rPr>
              <w:t>指标说明</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r w:rsidRPr="0004290C">
              <w:rPr>
                <w:rFonts w:hint="eastAsia"/>
                <w:b/>
                <w:sz w:val="24"/>
                <w:szCs w:val="24"/>
              </w:rPr>
              <w:t>分值权重</w:t>
            </w:r>
          </w:p>
        </w:tc>
        <w:tc>
          <w:tcPr>
            <w:tcW w:w="260" w:type="pct"/>
            <w:tcBorders>
              <w:top w:val="single" w:sz="4" w:space="0" w:color="auto"/>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r>
              <w:rPr>
                <w:rFonts w:hint="eastAsia"/>
                <w:b/>
                <w:sz w:val="24"/>
                <w:szCs w:val="24"/>
              </w:rPr>
              <w:t>自评</w:t>
            </w:r>
            <w:r w:rsidRPr="0004290C">
              <w:rPr>
                <w:rFonts w:hint="eastAsia"/>
                <w:b/>
                <w:sz w:val="24"/>
                <w:szCs w:val="24"/>
              </w:rPr>
              <w:t>打分</w:t>
            </w:r>
          </w:p>
        </w:tc>
      </w:tr>
      <w:tr w:rsidR="008F495A" w:rsidRPr="0004290C" w:rsidTr="00B10DD5">
        <w:trPr>
          <w:cantSplit/>
          <w:trHeight w:val="596"/>
        </w:trPr>
        <w:tc>
          <w:tcPr>
            <w:tcW w:w="458" w:type="pct"/>
            <w:vMerge w:val="restart"/>
            <w:tcBorders>
              <w:top w:val="single" w:sz="4" w:space="0" w:color="auto"/>
              <w:left w:val="single" w:sz="4" w:space="0" w:color="auto"/>
              <w:right w:val="single" w:sz="4" w:space="0" w:color="auto"/>
            </w:tcBorders>
            <w:vAlign w:val="center"/>
          </w:tcPr>
          <w:p w:rsidR="008F495A" w:rsidRPr="0004290C" w:rsidRDefault="008F495A" w:rsidP="00B10DD5">
            <w:pPr>
              <w:jc w:val="center"/>
              <w:rPr>
                <w:rFonts w:cs="宋体"/>
                <w:b/>
                <w:kern w:val="0"/>
                <w:sz w:val="24"/>
                <w:szCs w:val="24"/>
              </w:rPr>
            </w:pPr>
            <w:r w:rsidRPr="0004290C">
              <w:rPr>
                <w:b/>
                <w:sz w:val="24"/>
                <w:szCs w:val="24"/>
              </w:rPr>
              <w:t>1.</w:t>
            </w:r>
            <w:r w:rsidRPr="0004290C">
              <w:rPr>
                <w:rFonts w:cs="宋体" w:hint="eastAsia"/>
                <w:b/>
                <w:kern w:val="0"/>
                <w:sz w:val="24"/>
                <w:szCs w:val="24"/>
              </w:rPr>
              <w:t>建设规划和总结</w:t>
            </w:r>
          </w:p>
          <w:p w:rsidR="008F495A" w:rsidRPr="0004290C" w:rsidRDefault="008F495A" w:rsidP="00B10DD5">
            <w:pPr>
              <w:adjustRightInd w:val="0"/>
              <w:snapToGrid w:val="0"/>
              <w:jc w:val="center"/>
              <w:rPr>
                <w:rFonts w:cs="宋体"/>
                <w:b/>
                <w:sz w:val="24"/>
                <w:szCs w:val="24"/>
              </w:rPr>
            </w:pPr>
            <w:r w:rsidRPr="0004290C">
              <w:rPr>
                <w:rFonts w:cs="宋体" w:hint="eastAsia"/>
                <w:b/>
                <w:kern w:val="0"/>
                <w:sz w:val="24"/>
                <w:szCs w:val="24"/>
              </w:rPr>
              <w:t>(</w:t>
            </w:r>
            <w:r w:rsidRPr="0004290C">
              <w:rPr>
                <w:rFonts w:cs="宋体" w:hint="eastAsia"/>
                <w:b/>
                <w:kern w:val="0"/>
                <w:sz w:val="24"/>
                <w:szCs w:val="24"/>
              </w:rPr>
              <w:t>权重</w:t>
            </w:r>
            <w:r w:rsidRPr="0004290C">
              <w:rPr>
                <w:rFonts w:cs="宋体" w:hint="eastAsia"/>
                <w:b/>
                <w:kern w:val="0"/>
                <w:sz w:val="24"/>
                <w:szCs w:val="24"/>
              </w:rPr>
              <w:t>40%)</w:t>
            </w: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ascii="宋体" w:hAnsi="宋体" w:cs="宋体"/>
                <w:b/>
                <w:kern w:val="0"/>
                <w:sz w:val="24"/>
                <w:szCs w:val="24"/>
              </w:rPr>
            </w:pPr>
            <w:r w:rsidRPr="0004290C">
              <w:rPr>
                <w:rFonts w:cs="宋体" w:hint="eastAsia"/>
                <w:b/>
                <w:kern w:val="0"/>
                <w:sz w:val="24"/>
                <w:szCs w:val="24"/>
              </w:rPr>
              <w:t>项目规划</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ascii="宋体" w:hAnsi="宋体" w:cs="宋体"/>
                <w:b/>
                <w:kern w:val="0"/>
                <w:sz w:val="24"/>
                <w:szCs w:val="24"/>
              </w:rPr>
            </w:pPr>
            <w:r w:rsidRPr="0004290C">
              <w:rPr>
                <w:rFonts w:cs="宋体" w:hint="eastAsia"/>
                <w:b/>
                <w:kern w:val="0"/>
                <w:sz w:val="24"/>
                <w:szCs w:val="24"/>
              </w:rPr>
              <w:t>规划科学、论证充分</w:t>
            </w:r>
            <w:r>
              <w:rPr>
                <w:rFonts w:cs="宋体" w:hint="eastAsia"/>
                <w:b/>
                <w:kern w:val="0"/>
                <w:sz w:val="24"/>
                <w:szCs w:val="24"/>
              </w:rPr>
              <w:t>、能够提升学校的办学特色和办学水平</w:t>
            </w:r>
            <w:r w:rsidRPr="0004290C">
              <w:rPr>
                <w:rFonts w:cs="宋体" w:hint="eastAsia"/>
                <w:b/>
                <w:kern w:val="0"/>
                <w:sz w:val="24"/>
                <w:szCs w:val="24"/>
              </w:rPr>
              <w:t>。对规划项目有分析、有论证、有明确的指导思想和具体的预期效益，有切实可行的保障措施。建设内容与论证材料、指导思想和预期目标符合度高。</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rPr>
                <w:rFonts w:ascii="宋体"/>
                <w:b/>
                <w:sz w:val="24"/>
                <w:szCs w:val="24"/>
              </w:rPr>
            </w:pPr>
            <w:r>
              <w:rPr>
                <w:rFonts w:ascii="宋体" w:hint="eastAsia"/>
                <w:b/>
                <w:sz w:val="24"/>
                <w:szCs w:val="24"/>
              </w:rPr>
              <w:t>查看</w:t>
            </w:r>
            <w:r w:rsidRPr="0004290C">
              <w:rPr>
                <w:rFonts w:ascii="宋体" w:hint="eastAsia"/>
                <w:b/>
                <w:sz w:val="24"/>
                <w:szCs w:val="24"/>
              </w:rPr>
              <w:t>项目规划</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b/>
                <w:sz w:val="24"/>
                <w:szCs w:val="24"/>
              </w:rPr>
            </w:pPr>
            <w:r w:rsidRPr="0004290C">
              <w:rPr>
                <w:rFonts w:hint="eastAsia"/>
                <w:b/>
                <w:sz w:val="24"/>
                <w:szCs w:val="24"/>
              </w:rPr>
              <w:t>10</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b/>
                <w:sz w:val="24"/>
                <w:szCs w:val="24"/>
              </w:rPr>
            </w:pPr>
          </w:p>
        </w:tc>
      </w:tr>
      <w:tr w:rsidR="008F495A" w:rsidRPr="0004290C" w:rsidTr="00B10DD5">
        <w:trPr>
          <w:cantSplit/>
          <w:trHeight w:val="738"/>
        </w:trPr>
        <w:tc>
          <w:tcPr>
            <w:tcW w:w="458" w:type="pct"/>
            <w:vMerge/>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cs="宋体"/>
                <w:b/>
                <w:kern w:val="0"/>
                <w:sz w:val="24"/>
                <w:szCs w:val="24"/>
              </w:rPr>
            </w:pPr>
            <w:r w:rsidRPr="0004290C">
              <w:rPr>
                <w:rFonts w:cs="宋体" w:hint="eastAsia"/>
                <w:b/>
                <w:kern w:val="0"/>
                <w:sz w:val="24"/>
                <w:szCs w:val="24"/>
              </w:rPr>
              <w:t>预算文本</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ascii="宋体" w:hAnsi="宋体" w:cs="宋体"/>
                <w:b/>
                <w:kern w:val="0"/>
                <w:sz w:val="24"/>
                <w:szCs w:val="24"/>
              </w:rPr>
            </w:pPr>
            <w:r w:rsidRPr="0004290C">
              <w:rPr>
                <w:rFonts w:cs="宋体" w:hint="eastAsia"/>
                <w:b/>
                <w:kern w:val="0"/>
                <w:sz w:val="24"/>
                <w:szCs w:val="24"/>
              </w:rPr>
              <w:t>预算</w:t>
            </w:r>
            <w:r>
              <w:rPr>
                <w:rFonts w:cs="宋体" w:hint="eastAsia"/>
                <w:b/>
                <w:kern w:val="0"/>
                <w:sz w:val="24"/>
                <w:szCs w:val="24"/>
              </w:rPr>
              <w:t>科学合理，完成及时，与规划符合度高</w:t>
            </w:r>
            <w:r w:rsidRPr="0004290C">
              <w:rPr>
                <w:rFonts w:cs="宋体" w:hint="eastAsia"/>
                <w:b/>
                <w:kern w:val="0"/>
                <w:sz w:val="24"/>
                <w:szCs w:val="24"/>
              </w:rPr>
              <w:t>。根据预算指标，能够制定科学合理的项目建设预算文本。包括：绩效目标、项目具体支出明细等。</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right="150"/>
              <w:rPr>
                <w:rFonts w:ascii="宋体" w:hAnsi="宋体" w:cs="宋体"/>
                <w:b/>
                <w:kern w:val="0"/>
                <w:sz w:val="24"/>
                <w:szCs w:val="24"/>
              </w:rPr>
            </w:pPr>
            <w:r>
              <w:rPr>
                <w:rFonts w:ascii="宋体" w:hAnsi="宋体" w:cs="宋体" w:hint="eastAsia"/>
                <w:b/>
                <w:kern w:val="0"/>
                <w:sz w:val="24"/>
                <w:szCs w:val="24"/>
              </w:rPr>
              <w:t>查看</w:t>
            </w:r>
            <w:r w:rsidRPr="0004290C">
              <w:rPr>
                <w:rFonts w:ascii="宋体" w:hAnsi="宋体" w:cs="宋体" w:hint="eastAsia"/>
                <w:b/>
                <w:kern w:val="0"/>
                <w:sz w:val="24"/>
                <w:szCs w:val="24"/>
              </w:rPr>
              <w:t>项目预算文本</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ascii="宋体" w:hAnsi="宋体" w:cs="宋体"/>
                <w:b/>
                <w:kern w:val="0"/>
                <w:sz w:val="24"/>
                <w:szCs w:val="24"/>
              </w:rPr>
            </w:pPr>
            <w:r w:rsidRPr="0004290C">
              <w:rPr>
                <w:rFonts w:ascii="宋体" w:hAnsi="宋体" w:cs="宋体" w:hint="eastAsia"/>
                <w:b/>
                <w:kern w:val="0"/>
                <w:sz w:val="24"/>
                <w:szCs w:val="24"/>
              </w:rPr>
              <w:t>5</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ascii="宋体" w:hAnsi="宋体" w:cs="宋体"/>
                <w:b/>
                <w:kern w:val="0"/>
                <w:sz w:val="24"/>
                <w:szCs w:val="24"/>
              </w:rPr>
            </w:pPr>
          </w:p>
        </w:tc>
      </w:tr>
      <w:tr w:rsidR="008F495A" w:rsidRPr="0004290C" w:rsidTr="00B10DD5">
        <w:trPr>
          <w:cantSplit/>
          <w:trHeight w:val="1159"/>
        </w:trPr>
        <w:tc>
          <w:tcPr>
            <w:tcW w:w="458" w:type="pct"/>
            <w:vMerge/>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ascii="宋体" w:hAnsi="宋体" w:cs="宋体"/>
                <w:b/>
                <w:kern w:val="0"/>
                <w:sz w:val="24"/>
                <w:szCs w:val="24"/>
              </w:rPr>
            </w:pPr>
            <w:r w:rsidRPr="0004290C">
              <w:rPr>
                <w:rFonts w:cs="宋体" w:hint="eastAsia"/>
                <w:b/>
                <w:kern w:val="0"/>
                <w:sz w:val="24"/>
                <w:szCs w:val="24"/>
              </w:rPr>
              <w:t>实施方案</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cs="宋体"/>
                <w:b/>
                <w:kern w:val="0"/>
                <w:sz w:val="24"/>
                <w:szCs w:val="24"/>
              </w:rPr>
            </w:pPr>
            <w:r>
              <w:rPr>
                <w:rFonts w:cs="宋体" w:hint="eastAsia"/>
                <w:b/>
                <w:kern w:val="0"/>
                <w:sz w:val="24"/>
                <w:szCs w:val="24"/>
              </w:rPr>
              <w:t>方案科学合理，完成及时，与规划符合度高</w:t>
            </w:r>
            <w:r w:rsidRPr="0004290C">
              <w:rPr>
                <w:rFonts w:cs="宋体" w:hint="eastAsia"/>
                <w:b/>
                <w:kern w:val="0"/>
                <w:sz w:val="24"/>
                <w:szCs w:val="24"/>
              </w:rPr>
              <w:t>。按项目规划和预算指标，制定切实可行的实施方案。方案包括建设内容、资金情况、项目目标、建设内容、组织与进度安排、预期效益、保障措施、实施计划、项目支出明细等。</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rPr>
                <w:rFonts w:ascii="宋体"/>
                <w:b/>
                <w:sz w:val="24"/>
                <w:szCs w:val="24"/>
              </w:rPr>
            </w:pPr>
            <w:r>
              <w:rPr>
                <w:rFonts w:ascii="宋体" w:hint="eastAsia"/>
                <w:b/>
                <w:sz w:val="24"/>
                <w:szCs w:val="24"/>
              </w:rPr>
              <w:t>查看</w:t>
            </w:r>
            <w:r w:rsidRPr="0004290C">
              <w:rPr>
                <w:rFonts w:ascii="宋体" w:hint="eastAsia"/>
                <w:b/>
                <w:sz w:val="24"/>
                <w:szCs w:val="24"/>
              </w:rPr>
              <w:t>项目实施方案</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5</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vMerge/>
            <w:tcBorders>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ascii="宋体" w:hAnsi="宋体" w:cs="宋体"/>
                <w:b/>
                <w:kern w:val="0"/>
                <w:sz w:val="24"/>
                <w:szCs w:val="24"/>
              </w:rPr>
            </w:pPr>
            <w:r w:rsidRPr="0004290C">
              <w:rPr>
                <w:rFonts w:cs="宋体" w:hint="eastAsia"/>
                <w:b/>
                <w:kern w:val="0"/>
                <w:sz w:val="24"/>
                <w:szCs w:val="24"/>
              </w:rPr>
              <w:t>总结报告</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ascii="宋体" w:hAnsi="宋体" w:cs="宋体"/>
                <w:b/>
                <w:kern w:val="0"/>
                <w:sz w:val="24"/>
                <w:szCs w:val="24"/>
              </w:rPr>
            </w:pPr>
            <w:r w:rsidRPr="0004290C">
              <w:rPr>
                <w:rFonts w:cs="宋体" w:hint="eastAsia"/>
                <w:b/>
                <w:kern w:val="0"/>
                <w:sz w:val="24"/>
                <w:szCs w:val="24"/>
              </w:rPr>
              <w:t>总结全面、符合实际。以项目为单位，对建设规划项目论证、技术管理、绩效管理情况进行认真地总结，真实全面，能够分析项目在运行中存在的问题，并提出建议及项目下一步规划措施。</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rPr>
                <w:rFonts w:ascii="宋体"/>
                <w:b/>
                <w:sz w:val="24"/>
                <w:szCs w:val="24"/>
              </w:rPr>
            </w:pPr>
            <w:r w:rsidRPr="0004290C">
              <w:rPr>
                <w:rFonts w:ascii="宋体" w:hint="eastAsia"/>
                <w:b/>
                <w:sz w:val="24"/>
                <w:szCs w:val="24"/>
              </w:rPr>
              <w:t>提交项目总结报告</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20</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vMerge w:val="restart"/>
            <w:tcBorders>
              <w:left w:val="single" w:sz="4" w:space="0" w:color="auto"/>
              <w:right w:val="single" w:sz="4" w:space="0" w:color="auto"/>
            </w:tcBorders>
            <w:vAlign w:val="center"/>
          </w:tcPr>
          <w:p w:rsidR="008F495A" w:rsidRPr="0004290C" w:rsidRDefault="008F495A" w:rsidP="00B10DD5">
            <w:pPr>
              <w:jc w:val="center"/>
              <w:rPr>
                <w:rFonts w:cs="宋体"/>
                <w:b/>
                <w:kern w:val="0"/>
                <w:sz w:val="24"/>
                <w:szCs w:val="24"/>
              </w:rPr>
            </w:pPr>
            <w:r w:rsidRPr="0004290C">
              <w:rPr>
                <w:rFonts w:cs="宋体" w:hint="eastAsia"/>
                <w:b/>
                <w:kern w:val="0"/>
                <w:sz w:val="24"/>
                <w:szCs w:val="24"/>
              </w:rPr>
              <w:t>2.</w:t>
            </w:r>
            <w:r w:rsidRPr="0004290C">
              <w:rPr>
                <w:rFonts w:cs="宋体" w:hint="eastAsia"/>
                <w:b/>
                <w:kern w:val="0"/>
                <w:sz w:val="24"/>
                <w:szCs w:val="24"/>
              </w:rPr>
              <w:t>技术管理</w:t>
            </w:r>
            <w:r w:rsidRPr="0004290C">
              <w:rPr>
                <w:rFonts w:cs="宋体" w:hint="eastAsia"/>
                <w:b/>
                <w:kern w:val="0"/>
                <w:sz w:val="24"/>
                <w:szCs w:val="24"/>
              </w:rPr>
              <w:t>(</w:t>
            </w:r>
            <w:r w:rsidRPr="0004290C">
              <w:rPr>
                <w:rFonts w:cs="宋体" w:hint="eastAsia"/>
                <w:b/>
                <w:kern w:val="0"/>
                <w:sz w:val="24"/>
                <w:szCs w:val="24"/>
              </w:rPr>
              <w:t>权重</w:t>
            </w:r>
            <w:r w:rsidRPr="0004290C">
              <w:rPr>
                <w:rFonts w:cs="宋体" w:hint="eastAsia"/>
                <w:b/>
                <w:kern w:val="0"/>
                <w:sz w:val="24"/>
                <w:szCs w:val="24"/>
              </w:rPr>
              <w:t>20%)</w:t>
            </w: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ascii="宋体" w:hAnsi="宋体" w:cs="宋体"/>
                <w:b/>
                <w:kern w:val="0"/>
                <w:sz w:val="24"/>
                <w:szCs w:val="24"/>
              </w:rPr>
            </w:pPr>
            <w:r w:rsidRPr="0004290C">
              <w:rPr>
                <w:rFonts w:cs="宋体" w:hint="eastAsia"/>
                <w:b/>
                <w:kern w:val="0"/>
                <w:sz w:val="24"/>
                <w:szCs w:val="24"/>
              </w:rPr>
              <w:t>技术</w:t>
            </w:r>
            <w:r>
              <w:rPr>
                <w:rFonts w:cs="宋体" w:hint="eastAsia"/>
                <w:b/>
                <w:kern w:val="0"/>
                <w:sz w:val="24"/>
                <w:szCs w:val="24"/>
              </w:rPr>
              <w:t>指标</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cs="宋体"/>
                <w:b/>
                <w:kern w:val="0"/>
                <w:sz w:val="24"/>
                <w:szCs w:val="24"/>
              </w:rPr>
            </w:pPr>
            <w:r w:rsidRPr="0004290C">
              <w:rPr>
                <w:rFonts w:cs="宋体" w:hint="eastAsia"/>
                <w:b/>
                <w:kern w:val="0"/>
                <w:sz w:val="24"/>
                <w:szCs w:val="24"/>
              </w:rPr>
              <w:t>技术指标重点突出、规范全面、满足需要、指向性弱。按省财政厅批准的项目实施方案，能够组织技术小组对所购置仪器设备的技术指标进行有效性论证，做到货比三家，提出符合项目需求、技术合理、厂家指向性较弱的仪器技术指标，以保证专项资金效益最大化。</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777FC0" w:rsidP="00777FC0">
            <w:pPr>
              <w:adjustRightInd w:val="0"/>
              <w:snapToGrid w:val="0"/>
              <w:rPr>
                <w:rFonts w:ascii="宋体"/>
                <w:b/>
                <w:sz w:val="24"/>
                <w:szCs w:val="24"/>
              </w:rPr>
            </w:pPr>
            <w:r>
              <w:rPr>
                <w:rFonts w:ascii="宋体" w:hint="eastAsia"/>
                <w:b/>
                <w:sz w:val="24"/>
                <w:szCs w:val="24"/>
              </w:rPr>
              <w:t>集体研究，货比三家，论证充分，满足需求。</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10</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vMerge/>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ascii="宋体" w:hAnsi="宋体" w:cs="宋体"/>
                <w:b/>
                <w:kern w:val="0"/>
                <w:sz w:val="24"/>
                <w:szCs w:val="24"/>
              </w:rPr>
            </w:pPr>
            <w:r w:rsidRPr="0004290C">
              <w:rPr>
                <w:rFonts w:cs="宋体" w:hint="eastAsia"/>
                <w:b/>
                <w:kern w:val="0"/>
                <w:sz w:val="24"/>
                <w:szCs w:val="24"/>
              </w:rPr>
              <w:t>政府采购</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ascii="宋体" w:hAnsi="宋体" w:cs="宋体"/>
                <w:b/>
                <w:kern w:val="0"/>
                <w:sz w:val="24"/>
                <w:szCs w:val="24"/>
              </w:rPr>
            </w:pPr>
            <w:r w:rsidRPr="0004290C">
              <w:rPr>
                <w:rFonts w:cs="宋体" w:hint="eastAsia"/>
                <w:b/>
                <w:kern w:val="0"/>
                <w:sz w:val="24"/>
                <w:szCs w:val="24"/>
              </w:rPr>
              <w:t>政府采购计划符合规范、及时有效。能够规范采购程序和内部监督机制，做到专项经费专款专用，不挪用和侵占。并按辽宁省财政厅的要求和规范，及时上报项目的政府采购计划。</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777FC0" w:rsidP="00B10DD5">
            <w:pPr>
              <w:adjustRightInd w:val="0"/>
              <w:snapToGrid w:val="0"/>
              <w:rPr>
                <w:rFonts w:ascii="宋体"/>
                <w:b/>
                <w:sz w:val="24"/>
                <w:szCs w:val="24"/>
              </w:rPr>
            </w:pPr>
            <w:r w:rsidRPr="0004290C">
              <w:rPr>
                <w:rFonts w:cs="宋体" w:hint="eastAsia"/>
                <w:b/>
                <w:kern w:val="0"/>
                <w:sz w:val="24"/>
                <w:szCs w:val="24"/>
              </w:rPr>
              <w:t>符合规范、及时有效</w:t>
            </w:r>
            <w:r>
              <w:rPr>
                <w:rFonts w:cs="宋体" w:hint="eastAsia"/>
                <w:b/>
                <w:kern w:val="0"/>
                <w:sz w:val="24"/>
                <w:szCs w:val="24"/>
              </w:rPr>
              <w:t>。</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2</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99"/>
        <w:gridCol w:w="1644"/>
        <w:gridCol w:w="6806"/>
        <w:gridCol w:w="2835"/>
        <w:gridCol w:w="853"/>
        <w:gridCol w:w="737"/>
      </w:tblGrid>
      <w:tr w:rsidR="008F495A" w:rsidRPr="0004290C" w:rsidTr="00B10DD5">
        <w:trPr>
          <w:cantSplit/>
          <w:trHeight w:val="738"/>
        </w:trPr>
        <w:tc>
          <w:tcPr>
            <w:tcW w:w="458" w:type="pct"/>
            <w:vMerge/>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ascii="宋体" w:hAnsi="宋体" w:cs="宋体"/>
                <w:b/>
                <w:kern w:val="0"/>
                <w:sz w:val="24"/>
                <w:szCs w:val="24"/>
              </w:rPr>
            </w:pPr>
            <w:r w:rsidRPr="0004290C">
              <w:rPr>
                <w:rFonts w:cs="宋体" w:hint="eastAsia"/>
                <w:b/>
                <w:kern w:val="0"/>
                <w:sz w:val="24"/>
                <w:szCs w:val="24"/>
              </w:rPr>
              <w:t>招标文件</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ascii="宋体" w:hAnsi="宋体" w:cs="宋体"/>
                <w:b/>
                <w:kern w:val="0"/>
                <w:sz w:val="24"/>
                <w:szCs w:val="24"/>
              </w:rPr>
            </w:pPr>
            <w:r w:rsidRPr="0004290C">
              <w:rPr>
                <w:rFonts w:cs="宋体" w:hint="eastAsia"/>
                <w:b/>
                <w:kern w:val="0"/>
                <w:sz w:val="24"/>
                <w:szCs w:val="24"/>
              </w:rPr>
              <w:t>招标文件中“项目需求及技术要求”格式规范、规格全面、符合招标规定。按照省财政厅批准的政府采购计划，及时高效地提出招标文件中“项目需求及技术要求”，保证项目按计划顺利进行。</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777FC0" w:rsidP="00777FC0">
            <w:pPr>
              <w:adjustRightInd w:val="0"/>
              <w:snapToGrid w:val="0"/>
              <w:rPr>
                <w:rFonts w:ascii="宋体"/>
                <w:b/>
                <w:sz w:val="24"/>
                <w:szCs w:val="24"/>
              </w:rPr>
            </w:pPr>
            <w:r>
              <w:rPr>
                <w:rFonts w:ascii="宋体" w:hint="eastAsia"/>
                <w:b/>
                <w:sz w:val="24"/>
                <w:szCs w:val="24"/>
              </w:rPr>
              <w:t>集体研究，论证全面，满足招标规范，保证使用。</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3</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vMerge/>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cs="宋体"/>
                <w:b/>
                <w:kern w:val="0"/>
                <w:sz w:val="24"/>
                <w:szCs w:val="24"/>
              </w:rPr>
            </w:pPr>
            <w:r w:rsidRPr="0004290C">
              <w:rPr>
                <w:rFonts w:cs="宋体" w:hint="eastAsia"/>
                <w:b/>
                <w:kern w:val="0"/>
                <w:sz w:val="24"/>
                <w:szCs w:val="24"/>
              </w:rPr>
              <w:t>验收结算</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cs="宋体"/>
                <w:b/>
                <w:kern w:val="0"/>
                <w:sz w:val="24"/>
                <w:szCs w:val="24"/>
              </w:rPr>
            </w:pPr>
            <w:r w:rsidRPr="0004290C">
              <w:rPr>
                <w:rFonts w:cs="宋体" w:hint="eastAsia"/>
                <w:b/>
                <w:kern w:val="0"/>
                <w:sz w:val="24"/>
                <w:szCs w:val="24"/>
              </w:rPr>
              <w:t>验收工作组织到位、验收全面、及时提交验收报告。根据货物合同，全面做好仪器设备到货安将装验收准备，到货时，能够组织管理人员和技术专家及时对仪器设备进行技术验收，实事求是地完成每一批仪器设备的验收报告。</w:t>
            </w:r>
            <w:r w:rsidR="000D2E86" w:rsidRPr="0004290C">
              <w:rPr>
                <w:rFonts w:cs="宋体" w:hint="eastAsia"/>
                <w:b/>
                <w:kern w:val="0"/>
                <w:sz w:val="24"/>
                <w:szCs w:val="24"/>
              </w:rPr>
              <w:t>验收不合格的仪器设备等项目，要及时反馈，提交验收报告，确保学校及时与供应商进行索赔、调换等协调事宜。</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777FC0" w:rsidP="000D2E86">
            <w:pPr>
              <w:adjustRightInd w:val="0"/>
              <w:snapToGrid w:val="0"/>
              <w:rPr>
                <w:rFonts w:ascii="宋体"/>
                <w:b/>
                <w:sz w:val="24"/>
                <w:szCs w:val="24"/>
              </w:rPr>
            </w:pPr>
            <w:r>
              <w:rPr>
                <w:rFonts w:ascii="宋体" w:hint="eastAsia"/>
                <w:b/>
                <w:sz w:val="24"/>
                <w:szCs w:val="24"/>
              </w:rPr>
              <w:t>准备充分，</w:t>
            </w:r>
            <w:r w:rsidR="000D2E86">
              <w:rPr>
                <w:rFonts w:ascii="宋体" w:hint="eastAsia"/>
                <w:b/>
                <w:sz w:val="24"/>
                <w:szCs w:val="24"/>
              </w:rPr>
              <w:t>按标准和规范</w:t>
            </w:r>
            <w:r>
              <w:rPr>
                <w:rFonts w:ascii="宋体" w:hint="eastAsia"/>
                <w:b/>
                <w:sz w:val="24"/>
                <w:szCs w:val="24"/>
              </w:rPr>
              <w:t>及时、严格、全面</w:t>
            </w:r>
            <w:r w:rsidR="000D2E86">
              <w:rPr>
                <w:rFonts w:ascii="宋体" w:hint="eastAsia"/>
                <w:b/>
                <w:sz w:val="24"/>
                <w:szCs w:val="24"/>
              </w:rPr>
              <w:t>验收</w:t>
            </w:r>
            <w:r>
              <w:rPr>
                <w:rFonts w:ascii="宋体" w:hint="eastAsia"/>
                <w:b/>
                <w:sz w:val="24"/>
                <w:szCs w:val="24"/>
              </w:rPr>
              <w:t>。</w:t>
            </w:r>
            <w:r w:rsidR="000D2E86">
              <w:rPr>
                <w:rFonts w:ascii="宋体" w:hint="eastAsia"/>
                <w:b/>
                <w:sz w:val="24"/>
                <w:szCs w:val="24"/>
              </w:rPr>
              <w:t>对验收出现问题能够按制度有效处理。</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3</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vMerge/>
            <w:tcBorders>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cs="宋体"/>
                <w:b/>
                <w:kern w:val="0"/>
                <w:sz w:val="24"/>
                <w:szCs w:val="24"/>
              </w:rPr>
            </w:pPr>
            <w:r w:rsidRPr="0004290C">
              <w:rPr>
                <w:rFonts w:cs="宋体" w:hint="eastAsia"/>
                <w:b/>
                <w:kern w:val="0"/>
                <w:sz w:val="24"/>
                <w:szCs w:val="24"/>
              </w:rPr>
              <w:t>固定资产</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0D2E86">
            <w:pPr>
              <w:widowControl/>
              <w:ind w:left="150" w:right="150"/>
              <w:jc w:val="left"/>
              <w:rPr>
                <w:rFonts w:cs="宋体"/>
                <w:b/>
                <w:kern w:val="0"/>
                <w:sz w:val="24"/>
                <w:szCs w:val="24"/>
              </w:rPr>
            </w:pPr>
            <w:r w:rsidRPr="0004290C">
              <w:rPr>
                <w:rFonts w:cs="宋体" w:hint="eastAsia"/>
                <w:b/>
                <w:kern w:val="0"/>
                <w:sz w:val="24"/>
                <w:szCs w:val="24"/>
              </w:rPr>
              <w:t>及时入机入账、信息准确无误。验收合格、属于固定资产的仪器设备能够及时入机入账，并保证入固定资产的仪器设备信息准确无误。</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0D2E86" w:rsidP="000D2E86">
            <w:pPr>
              <w:adjustRightInd w:val="0"/>
              <w:snapToGrid w:val="0"/>
              <w:rPr>
                <w:rFonts w:ascii="宋体"/>
                <w:b/>
                <w:sz w:val="24"/>
                <w:szCs w:val="24"/>
              </w:rPr>
            </w:pPr>
            <w:r>
              <w:rPr>
                <w:rFonts w:ascii="宋体" w:hint="eastAsia"/>
                <w:b/>
                <w:sz w:val="24"/>
                <w:szCs w:val="24"/>
              </w:rPr>
              <w:t>登记固定资产信息准确、入机入账及时。</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2</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vMerge w:val="restart"/>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r w:rsidRPr="0004290C">
              <w:rPr>
                <w:rFonts w:hint="eastAsia"/>
                <w:b/>
                <w:sz w:val="24"/>
                <w:szCs w:val="24"/>
              </w:rPr>
              <w:t>3.</w:t>
            </w:r>
            <w:r w:rsidRPr="0004290C">
              <w:rPr>
                <w:rFonts w:hint="eastAsia"/>
                <w:b/>
                <w:sz w:val="24"/>
                <w:szCs w:val="24"/>
              </w:rPr>
              <w:t>绩效管理</w:t>
            </w:r>
            <w:r w:rsidRPr="0004290C">
              <w:rPr>
                <w:rFonts w:cs="宋体" w:hint="eastAsia"/>
                <w:b/>
                <w:kern w:val="0"/>
                <w:sz w:val="24"/>
                <w:szCs w:val="24"/>
              </w:rPr>
              <w:t>(</w:t>
            </w:r>
            <w:r w:rsidRPr="0004290C">
              <w:rPr>
                <w:rFonts w:cs="宋体" w:hint="eastAsia"/>
                <w:b/>
                <w:kern w:val="0"/>
                <w:sz w:val="24"/>
                <w:szCs w:val="24"/>
              </w:rPr>
              <w:t>权重</w:t>
            </w:r>
            <w:r w:rsidRPr="0004290C">
              <w:rPr>
                <w:rFonts w:cs="宋体" w:hint="eastAsia"/>
                <w:b/>
                <w:kern w:val="0"/>
                <w:sz w:val="24"/>
                <w:szCs w:val="24"/>
              </w:rPr>
              <w:t>25%)</w:t>
            </w: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cs="宋体"/>
                <w:b/>
                <w:kern w:val="0"/>
                <w:sz w:val="24"/>
                <w:szCs w:val="24"/>
              </w:rPr>
            </w:pPr>
            <w:r>
              <w:rPr>
                <w:rFonts w:cs="宋体" w:hint="eastAsia"/>
                <w:b/>
                <w:kern w:val="0"/>
                <w:sz w:val="24"/>
                <w:szCs w:val="24"/>
              </w:rPr>
              <w:t>硬件建设</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cs="宋体"/>
                <w:b/>
                <w:kern w:val="0"/>
                <w:sz w:val="24"/>
                <w:szCs w:val="24"/>
              </w:rPr>
            </w:pPr>
            <w:r>
              <w:rPr>
                <w:rFonts w:cs="宋体" w:hint="eastAsia"/>
                <w:b/>
                <w:kern w:val="0"/>
                <w:sz w:val="24"/>
                <w:szCs w:val="24"/>
              </w:rPr>
              <w:t>实验室、实训室、资料中心、服务设施等硬件建设水平达到项目绩效目标。</w:t>
            </w:r>
            <w:r>
              <w:rPr>
                <w:rFonts w:ascii="宋体" w:hint="eastAsia"/>
                <w:b/>
                <w:sz w:val="24"/>
                <w:szCs w:val="24"/>
              </w:rPr>
              <w:t>仪器设备</w:t>
            </w:r>
            <w:r w:rsidRPr="0004290C">
              <w:rPr>
                <w:rFonts w:ascii="宋体" w:hint="eastAsia"/>
                <w:b/>
                <w:sz w:val="24"/>
                <w:szCs w:val="24"/>
              </w:rPr>
              <w:t>利用率高，实验室开放程度高，</w:t>
            </w:r>
            <w:r>
              <w:rPr>
                <w:rFonts w:ascii="宋体" w:hint="eastAsia"/>
                <w:b/>
                <w:sz w:val="24"/>
                <w:szCs w:val="24"/>
              </w:rPr>
              <w:t>大型仪器设备</w:t>
            </w:r>
            <w:r w:rsidRPr="0004290C">
              <w:rPr>
                <w:rFonts w:ascii="宋体" w:hint="eastAsia"/>
                <w:b/>
                <w:sz w:val="24"/>
                <w:szCs w:val="24"/>
              </w:rPr>
              <w:t>对外提供服务能力强，效果明显。</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0D2E86">
            <w:pPr>
              <w:adjustRightInd w:val="0"/>
              <w:snapToGrid w:val="0"/>
              <w:rPr>
                <w:rFonts w:ascii="宋体"/>
                <w:b/>
                <w:sz w:val="24"/>
                <w:szCs w:val="24"/>
              </w:rPr>
            </w:pPr>
            <w:r w:rsidRPr="0004290C">
              <w:rPr>
                <w:rFonts w:cs="宋体" w:hint="eastAsia"/>
                <w:b/>
                <w:kern w:val="0"/>
                <w:sz w:val="24"/>
                <w:szCs w:val="24"/>
              </w:rPr>
              <w:t>由项目单位提供</w:t>
            </w:r>
            <w:r>
              <w:rPr>
                <w:rFonts w:cs="宋体" w:hint="eastAsia"/>
                <w:b/>
                <w:kern w:val="0"/>
                <w:sz w:val="24"/>
                <w:szCs w:val="24"/>
              </w:rPr>
              <w:t>实验室和仪器设备统计表，并提供对校内、外高校和单位开放</w:t>
            </w:r>
            <w:r w:rsidRPr="0004290C">
              <w:rPr>
                <w:rFonts w:cs="宋体" w:hint="eastAsia"/>
                <w:b/>
                <w:kern w:val="0"/>
                <w:sz w:val="24"/>
                <w:szCs w:val="24"/>
              </w:rPr>
              <w:t>业绩</w:t>
            </w:r>
            <w:r>
              <w:rPr>
                <w:rFonts w:cs="宋体" w:hint="eastAsia"/>
                <w:b/>
                <w:kern w:val="0"/>
                <w:sz w:val="24"/>
                <w:szCs w:val="24"/>
              </w:rPr>
              <w:t>，高层次学术交流与合作的</w:t>
            </w:r>
            <w:r w:rsidRPr="0004290C">
              <w:rPr>
                <w:rFonts w:cs="宋体" w:hint="eastAsia"/>
                <w:b/>
                <w:kern w:val="0"/>
                <w:sz w:val="24"/>
                <w:szCs w:val="24"/>
              </w:rPr>
              <w:t>业绩。</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Pr>
                <w:rFonts w:ascii="宋体" w:hint="eastAsia"/>
                <w:b/>
                <w:sz w:val="24"/>
                <w:szCs w:val="24"/>
              </w:rPr>
              <w:t>5</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vMerge/>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cs="宋体"/>
                <w:b/>
                <w:kern w:val="0"/>
                <w:sz w:val="24"/>
                <w:szCs w:val="24"/>
              </w:rPr>
            </w:pPr>
            <w:r>
              <w:rPr>
                <w:rFonts w:cs="宋体" w:hint="eastAsia"/>
                <w:b/>
                <w:kern w:val="0"/>
                <w:sz w:val="24"/>
                <w:szCs w:val="24"/>
              </w:rPr>
              <w:t>软件建设</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cs="宋体"/>
                <w:b/>
                <w:kern w:val="0"/>
                <w:sz w:val="24"/>
                <w:szCs w:val="24"/>
              </w:rPr>
            </w:pPr>
            <w:r>
              <w:rPr>
                <w:rFonts w:cs="宋体" w:hint="eastAsia"/>
                <w:b/>
                <w:kern w:val="0"/>
                <w:sz w:val="24"/>
                <w:szCs w:val="24"/>
              </w:rPr>
              <w:t>完成绩效目标确定的教学、科研等软件建设的量化指标数。包括新开实验课程名称、综合性设计性实验项目名称、创新性实验项目名称统计表，教学质量工程获奖情况，教师获</w:t>
            </w:r>
            <w:proofErr w:type="gramStart"/>
            <w:r>
              <w:rPr>
                <w:rFonts w:cs="宋体" w:hint="eastAsia"/>
                <w:b/>
                <w:kern w:val="0"/>
                <w:sz w:val="24"/>
                <w:szCs w:val="24"/>
              </w:rPr>
              <w:t>批科研</w:t>
            </w:r>
            <w:proofErr w:type="gramEnd"/>
            <w:r>
              <w:rPr>
                <w:rFonts w:cs="宋体" w:hint="eastAsia"/>
                <w:b/>
                <w:kern w:val="0"/>
                <w:sz w:val="24"/>
                <w:szCs w:val="24"/>
              </w:rPr>
              <w:t>课题、发表科研论文等情况。</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rPr>
                <w:rFonts w:ascii="宋体"/>
                <w:b/>
                <w:sz w:val="24"/>
                <w:szCs w:val="24"/>
              </w:rPr>
            </w:pPr>
            <w:r w:rsidRPr="0004290C">
              <w:rPr>
                <w:rFonts w:cs="宋体" w:hint="eastAsia"/>
                <w:b/>
                <w:kern w:val="0"/>
                <w:sz w:val="24"/>
                <w:szCs w:val="24"/>
              </w:rPr>
              <w:t>由项目单位提供</w:t>
            </w:r>
            <w:r>
              <w:rPr>
                <w:rFonts w:cs="宋体" w:hint="eastAsia"/>
                <w:b/>
                <w:kern w:val="0"/>
                <w:sz w:val="24"/>
                <w:szCs w:val="24"/>
              </w:rPr>
              <w:t>相关统计表</w:t>
            </w:r>
            <w:r w:rsidRPr="0004290C">
              <w:rPr>
                <w:rFonts w:cs="宋体" w:hint="eastAsia"/>
                <w:b/>
                <w:kern w:val="0"/>
                <w:sz w:val="24"/>
                <w:szCs w:val="24"/>
              </w:rPr>
              <w:t>。</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10</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vMerge/>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cs="宋体"/>
                <w:b/>
                <w:kern w:val="0"/>
                <w:sz w:val="24"/>
                <w:szCs w:val="24"/>
              </w:rPr>
            </w:pPr>
            <w:r w:rsidRPr="0004290C">
              <w:rPr>
                <w:rFonts w:cs="宋体" w:hint="eastAsia"/>
                <w:b/>
                <w:kern w:val="0"/>
                <w:sz w:val="24"/>
                <w:szCs w:val="24"/>
              </w:rPr>
              <w:t>制度建设</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cs="宋体"/>
                <w:b/>
                <w:kern w:val="0"/>
                <w:sz w:val="24"/>
                <w:szCs w:val="24"/>
              </w:rPr>
            </w:pPr>
            <w:r w:rsidRPr="0004290C">
              <w:rPr>
                <w:rFonts w:cs="宋体" w:hint="eastAsia"/>
                <w:b/>
                <w:kern w:val="0"/>
                <w:sz w:val="24"/>
                <w:szCs w:val="24"/>
              </w:rPr>
              <w:t>制度健全，规范执行。项目单位根据实际需要制订项目管理制度（方案论证、设备技术指标论证、设备验收等）、仪器设备管理制度（大型仪器设备操作规程、大型仪器共享制度、新建实验室管理规程等）。</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rPr>
                <w:rFonts w:ascii="宋体"/>
                <w:b/>
                <w:sz w:val="24"/>
                <w:szCs w:val="24"/>
              </w:rPr>
            </w:pPr>
            <w:r w:rsidRPr="0004290C">
              <w:rPr>
                <w:rFonts w:ascii="宋体" w:hint="eastAsia"/>
                <w:b/>
                <w:sz w:val="24"/>
                <w:szCs w:val="24"/>
              </w:rPr>
              <w:t>由项目单位提交项目执行和使用管理制度。</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Pr>
                <w:rFonts w:ascii="宋体" w:hint="eastAsia"/>
                <w:b/>
                <w:sz w:val="24"/>
                <w:szCs w:val="24"/>
              </w:rPr>
              <w:t>3</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vMerge/>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cs="宋体"/>
                <w:b/>
                <w:kern w:val="0"/>
                <w:sz w:val="24"/>
                <w:szCs w:val="24"/>
              </w:rPr>
            </w:pPr>
            <w:r w:rsidRPr="0004290C">
              <w:rPr>
                <w:rFonts w:cs="宋体" w:hint="eastAsia"/>
                <w:b/>
                <w:kern w:val="0"/>
                <w:sz w:val="24"/>
                <w:szCs w:val="24"/>
              </w:rPr>
              <w:t>队伍建设</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cs="宋体"/>
                <w:b/>
                <w:kern w:val="0"/>
                <w:sz w:val="24"/>
                <w:szCs w:val="24"/>
              </w:rPr>
            </w:pPr>
            <w:r w:rsidRPr="0004290C">
              <w:rPr>
                <w:rFonts w:cs="宋体" w:hint="eastAsia"/>
                <w:b/>
                <w:kern w:val="0"/>
                <w:sz w:val="24"/>
                <w:szCs w:val="24"/>
              </w:rPr>
              <w:t>队伍建设有成效。项目建设对提高教师和实验技术人员能力和水平的作用。</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rPr>
                <w:rFonts w:ascii="宋体"/>
                <w:b/>
                <w:sz w:val="24"/>
                <w:szCs w:val="24"/>
              </w:rPr>
            </w:pPr>
            <w:r w:rsidRPr="0004290C">
              <w:rPr>
                <w:rFonts w:ascii="宋体" w:hint="eastAsia"/>
                <w:b/>
                <w:sz w:val="24"/>
                <w:szCs w:val="24"/>
              </w:rPr>
              <w:t>由项目单位提供教师和技术人员利用项目得到的培训和技能提高材料。</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2</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vMerge/>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cs="宋体"/>
                <w:b/>
                <w:kern w:val="0"/>
                <w:sz w:val="24"/>
                <w:szCs w:val="24"/>
              </w:rPr>
            </w:pPr>
            <w:r w:rsidRPr="0004290C">
              <w:rPr>
                <w:rFonts w:cs="宋体" w:hint="eastAsia"/>
                <w:b/>
                <w:kern w:val="0"/>
                <w:sz w:val="24"/>
                <w:szCs w:val="24"/>
              </w:rPr>
              <w:t>建设水平</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cs="宋体"/>
                <w:b/>
                <w:kern w:val="0"/>
                <w:sz w:val="24"/>
                <w:szCs w:val="24"/>
              </w:rPr>
            </w:pPr>
            <w:r w:rsidRPr="004036C4">
              <w:rPr>
                <w:rFonts w:cs="宋体" w:hint="eastAsia"/>
                <w:b/>
                <w:kern w:val="0"/>
                <w:sz w:val="24"/>
                <w:szCs w:val="24"/>
              </w:rPr>
              <w:t>建设项目</w:t>
            </w:r>
            <w:r>
              <w:rPr>
                <w:rFonts w:cs="宋体" w:hint="eastAsia"/>
                <w:b/>
                <w:kern w:val="0"/>
                <w:sz w:val="24"/>
                <w:szCs w:val="24"/>
              </w:rPr>
              <w:t>有创新和</w:t>
            </w:r>
            <w:r w:rsidRPr="004036C4">
              <w:rPr>
                <w:rFonts w:cs="宋体" w:hint="eastAsia"/>
                <w:b/>
                <w:kern w:val="0"/>
                <w:sz w:val="24"/>
                <w:szCs w:val="24"/>
              </w:rPr>
              <w:t>特色</w:t>
            </w:r>
            <w:r>
              <w:rPr>
                <w:rFonts w:cs="宋体" w:hint="eastAsia"/>
                <w:b/>
                <w:kern w:val="0"/>
                <w:sz w:val="24"/>
                <w:szCs w:val="24"/>
              </w:rPr>
              <w:t>明显、</w:t>
            </w:r>
            <w:r w:rsidRPr="004036C4">
              <w:rPr>
                <w:rFonts w:cs="宋体" w:hint="eastAsia"/>
                <w:b/>
                <w:kern w:val="0"/>
                <w:sz w:val="24"/>
                <w:szCs w:val="24"/>
              </w:rPr>
              <w:t>实验教学改革成效</w:t>
            </w:r>
            <w:r>
              <w:rPr>
                <w:rFonts w:cs="宋体" w:hint="eastAsia"/>
                <w:b/>
                <w:kern w:val="0"/>
                <w:sz w:val="24"/>
                <w:szCs w:val="24"/>
              </w:rPr>
              <w:t>显著、</w:t>
            </w:r>
            <w:r w:rsidRPr="004036C4">
              <w:rPr>
                <w:rFonts w:cs="宋体" w:hint="eastAsia"/>
                <w:b/>
                <w:kern w:val="0"/>
                <w:sz w:val="24"/>
                <w:szCs w:val="24"/>
              </w:rPr>
              <w:t>区域影响</w:t>
            </w:r>
            <w:r>
              <w:rPr>
                <w:rFonts w:cs="宋体" w:hint="eastAsia"/>
                <w:b/>
                <w:kern w:val="0"/>
                <w:sz w:val="24"/>
                <w:szCs w:val="24"/>
              </w:rPr>
              <w:t>力大。内容包括：建设的实验室</w:t>
            </w:r>
            <w:r w:rsidRPr="004036C4">
              <w:rPr>
                <w:rFonts w:cs="宋体" w:hint="eastAsia"/>
                <w:b/>
                <w:kern w:val="0"/>
                <w:sz w:val="24"/>
                <w:szCs w:val="24"/>
              </w:rPr>
              <w:t>与国内同类实验室比较创新</w:t>
            </w:r>
            <w:r>
              <w:rPr>
                <w:rFonts w:cs="宋体" w:hint="eastAsia"/>
                <w:b/>
                <w:kern w:val="0"/>
                <w:sz w:val="24"/>
                <w:szCs w:val="24"/>
              </w:rPr>
              <w:t>点和特色；</w:t>
            </w:r>
            <w:r w:rsidRPr="004036C4">
              <w:rPr>
                <w:rFonts w:cs="宋体" w:hint="eastAsia"/>
                <w:b/>
                <w:kern w:val="0"/>
                <w:sz w:val="24"/>
                <w:szCs w:val="24"/>
              </w:rPr>
              <w:t>对实验教学的促进作用</w:t>
            </w:r>
            <w:r>
              <w:rPr>
                <w:rFonts w:cs="宋体" w:hint="eastAsia"/>
                <w:b/>
                <w:kern w:val="0"/>
                <w:sz w:val="24"/>
                <w:szCs w:val="24"/>
              </w:rPr>
              <w:t>，</w:t>
            </w:r>
            <w:r w:rsidRPr="004036C4">
              <w:rPr>
                <w:rFonts w:cs="宋体" w:hint="eastAsia"/>
                <w:b/>
                <w:kern w:val="0"/>
                <w:sz w:val="24"/>
                <w:szCs w:val="24"/>
              </w:rPr>
              <w:t>尤其是通过实验教学手段的扩充和提升，带来的成效</w:t>
            </w:r>
            <w:r>
              <w:rPr>
                <w:rFonts w:cs="宋体" w:hint="eastAsia"/>
                <w:b/>
                <w:kern w:val="0"/>
                <w:sz w:val="24"/>
                <w:szCs w:val="24"/>
              </w:rPr>
              <w:t>；</w:t>
            </w:r>
            <w:r w:rsidRPr="004036C4">
              <w:rPr>
                <w:rFonts w:cs="宋体" w:hint="eastAsia"/>
                <w:b/>
                <w:kern w:val="0"/>
                <w:sz w:val="24"/>
                <w:szCs w:val="24"/>
              </w:rPr>
              <w:t>实验室是否具有示范性和代表性</w:t>
            </w:r>
            <w:r>
              <w:rPr>
                <w:rFonts w:cs="宋体" w:hint="eastAsia"/>
                <w:b/>
                <w:kern w:val="0"/>
                <w:sz w:val="24"/>
                <w:szCs w:val="24"/>
              </w:rPr>
              <w:t>，</w:t>
            </w:r>
            <w:r w:rsidRPr="004036C4">
              <w:rPr>
                <w:rFonts w:cs="宋体" w:hint="eastAsia"/>
                <w:b/>
                <w:kern w:val="0"/>
                <w:sz w:val="24"/>
                <w:szCs w:val="24"/>
              </w:rPr>
              <w:t>是否属于填补当地相关学科空白，或推动该学科在当地的发展</w:t>
            </w:r>
            <w:r>
              <w:rPr>
                <w:rFonts w:cs="宋体" w:hint="eastAsia"/>
                <w:b/>
                <w:kern w:val="0"/>
                <w:sz w:val="24"/>
                <w:szCs w:val="24"/>
              </w:rPr>
              <w:t>；</w:t>
            </w:r>
            <w:r w:rsidRPr="004036C4">
              <w:rPr>
                <w:rFonts w:cs="宋体" w:hint="eastAsia"/>
                <w:b/>
                <w:kern w:val="0"/>
                <w:sz w:val="24"/>
                <w:szCs w:val="24"/>
              </w:rPr>
              <w:t>通过一定阶段的发展，所研究的成果是否有利于当地经济的发展，成果转化方面效益是否明显</w:t>
            </w:r>
            <w:r>
              <w:rPr>
                <w:rFonts w:cs="宋体" w:hint="eastAsia"/>
                <w:b/>
                <w:kern w:val="0"/>
                <w:sz w:val="24"/>
                <w:szCs w:val="24"/>
              </w:rPr>
              <w:t>。</w:t>
            </w:r>
            <w:r w:rsidRPr="0004290C">
              <w:rPr>
                <w:rFonts w:cs="宋体" w:hint="eastAsia"/>
                <w:b/>
                <w:kern w:val="0"/>
                <w:sz w:val="24"/>
                <w:szCs w:val="24"/>
              </w:rPr>
              <w:t xml:space="preserve"> </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rPr>
                <w:rFonts w:ascii="宋体"/>
                <w:b/>
                <w:sz w:val="24"/>
                <w:szCs w:val="24"/>
              </w:rPr>
            </w:pPr>
            <w:r w:rsidRPr="0004290C">
              <w:rPr>
                <w:rFonts w:ascii="宋体" w:hint="eastAsia"/>
                <w:b/>
                <w:sz w:val="24"/>
                <w:szCs w:val="24"/>
              </w:rPr>
              <w:t>由项目单位依据建设成果的事实进行阐述。</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5</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r w:rsidRPr="0004290C">
              <w:rPr>
                <w:rFonts w:hint="eastAsia"/>
                <w:b/>
                <w:sz w:val="24"/>
                <w:szCs w:val="24"/>
              </w:rPr>
              <w:t>4.</w:t>
            </w:r>
            <w:r w:rsidRPr="0004290C">
              <w:rPr>
                <w:rFonts w:hint="eastAsia"/>
                <w:b/>
                <w:sz w:val="24"/>
                <w:szCs w:val="24"/>
              </w:rPr>
              <w:t>追踪问效</w:t>
            </w:r>
            <w:r w:rsidRPr="0004290C">
              <w:rPr>
                <w:rFonts w:cs="宋体" w:hint="eastAsia"/>
                <w:b/>
                <w:kern w:val="0"/>
                <w:sz w:val="24"/>
                <w:szCs w:val="24"/>
              </w:rPr>
              <w:t>(</w:t>
            </w:r>
            <w:r w:rsidRPr="0004290C">
              <w:rPr>
                <w:rFonts w:cs="宋体" w:hint="eastAsia"/>
                <w:b/>
                <w:kern w:val="0"/>
                <w:sz w:val="24"/>
                <w:szCs w:val="24"/>
              </w:rPr>
              <w:t>权重</w:t>
            </w:r>
            <w:r w:rsidRPr="0004290C">
              <w:rPr>
                <w:rFonts w:cs="宋体" w:hint="eastAsia"/>
                <w:b/>
                <w:kern w:val="0"/>
                <w:sz w:val="24"/>
                <w:szCs w:val="24"/>
              </w:rPr>
              <w:t>10%)</w:t>
            </w: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cs="宋体"/>
                <w:b/>
                <w:kern w:val="0"/>
                <w:sz w:val="24"/>
                <w:szCs w:val="24"/>
              </w:rPr>
            </w:pPr>
            <w:r w:rsidRPr="0004290C">
              <w:rPr>
                <w:rFonts w:cs="宋体" w:hint="eastAsia"/>
                <w:b/>
                <w:kern w:val="0"/>
                <w:sz w:val="24"/>
                <w:szCs w:val="24"/>
              </w:rPr>
              <w:t>支出审核</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left"/>
              <w:rPr>
                <w:rFonts w:cs="宋体"/>
                <w:b/>
                <w:kern w:val="0"/>
                <w:sz w:val="24"/>
                <w:szCs w:val="24"/>
              </w:rPr>
            </w:pPr>
            <w:r w:rsidRPr="0004290C">
              <w:rPr>
                <w:rFonts w:cs="宋体" w:hint="eastAsia"/>
                <w:b/>
                <w:kern w:val="0"/>
                <w:sz w:val="24"/>
                <w:szCs w:val="24"/>
              </w:rPr>
              <w:t>专款专用，支出</w:t>
            </w:r>
            <w:r>
              <w:rPr>
                <w:rFonts w:cs="宋体" w:hint="eastAsia"/>
                <w:b/>
                <w:kern w:val="0"/>
                <w:sz w:val="24"/>
                <w:szCs w:val="24"/>
              </w:rPr>
              <w:t>规范</w:t>
            </w:r>
            <w:r w:rsidRPr="0004290C">
              <w:rPr>
                <w:rFonts w:cs="宋体" w:hint="eastAsia"/>
                <w:b/>
                <w:kern w:val="0"/>
                <w:sz w:val="24"/>
                <w:szCs w:val="24"/>
              </w:rPr>
              <w:t>合理。倒查</w:t>
            </w:r>
            <w:r>
              <w:rPr>
                <w:rFonts w:cs="宋体" w:hint="eastAsia"/>
                <w:b/>
                <w:kern w:val="0"/>
                <w:sz w:val="24"/>
                <w:szCs w:val="24"/>
              </w:rPr>
              <w:t>支出项目明细与</w:t>
            </w:r>
            <w:r w:rsidRPr="0004290C">
              <w:rPr>
                <w:rFonts w:cs="宋体" w:hint="eastAsia"/>
                <w:b/>
                <w:kern w:val="0"/>
                <w:sz w:val="24"/>
                <w:szCs w:val="24"/>
              </w:rPr>
              <w:t>实施方案</w:t>
            </w:r>
            <w:r>
              <w:rPr>
                <w:rFonts w:cs="宋体" w:hint="eastAsia"/>
                <w:b/>
                <w:kern w:val="0"/>
                <w:sz w:val="24"/>
                <w:szCs w:val="24"/>
              </w:rPr>
              <w:t>符合度，</w:t>
            </w:r>
            <w:r w:rsidRPr="0004290C">
              <w:rPr>
                <w:rFonts w:cs="宋体" w:hint="eastAsia"/>
                <w:b/>
                <w:kern w:val="0"/>
                <w:sz w:val="24"/>
                <w:szCs w:val="24"/>
              </w:rPr>
              <w:t>审</w:t>
            </w:r>
            <w:r>
              <w:rPr>
                <w:rFonts w:cs="宋体" w:hint="eastAsia"/>
                <w:b/>
                <w:kern w:val="0"/>
                <w:sz w:val="24"/>
                <w:szCs w:val="24"/>
              </w:rPr>
              <w:t>查</w:t>
            </w:r>
            <w:r w:rsidRPr="0004290C">
              <w:rPr>
                <w:rFonts w:cs="宋体" w:hint="eastAsia"/>
                <w:b/>
                <w:kern w:val="0"/>
                <w:sz w:val="24"/>
                <w:szCs w:val="24"/>
              </w:rPr>
              <w:t>项目经费是否专款专用，支出是否合理规范。</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rPr>
                <w:rFonts w:ascii="宋体"/>
                <w:b/>
                <w:sz w:val="24"/>
                <w:szCs w:val="24"/>
              </w:rPr>
            </w:pPr>
            <w:r w:rsidRPr="0004290C">
              <w:rPr>
                <w:rFonts w:ascii="宋体" w:hint="eastAsia"/>
                <w:b/>
                <w:sz w:val="24"/>
                <w:szCs w:val="24"/>
              </w:rPr>
              <w:t>由项目单位提供项目支出明细表。</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10</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58" w:type="pct"/>
            <w:tcBorders>
              <w:left w:val="single" w:sz="4" w:space="0" w:color="auto"/>
              <w:right w:val="single" w:sz="4" w:space="0" w:color="auto"/>
            </w:tcBorders>
            <w:vAlign w:val="center"/>
          </w:tcPr>
          <w:p w:rsidR="008F495A" w:rsidRPr="0004290C" w:rsidRDefault="008F495A" w:rsidP="00B10DD5">
            <w:pPr>
              <w:adjustRightInd w:val="0"/>
              <w:snapToGrid w:val="0"/>
              <w:jc w:val="center"/>
              <w:rPr>
                <w:b/>
                <w:sz w:val="24"/>
                <w:szCs w:val="24"/>
              </w:rPr>
            </w:pPr>
            <w:r w:rsidRPr="0004290C">
              <w:rPr>
                <w:rFonts w:hint="eastAsia"/>
                <w:b/>
                <w:sz w:val="24"/>
                <w:szCs w:val="24"/>
              </w:rPr>
              <w:t>5</w:t>
            </w:r>
            <w:r w:rsidRPr="0004290C">
              <w:rPr>
                <w:rFonts w:hint="eastAsia"/>
                <w:b/>
                <w:sz w:val="24"/>
                <w:szCs w:val="24"/>
              </w:rPr>
              <w:t>．建议及下一步工作规划</w:t>
            </w:r>
            <w:r w:rsidRPr="0004290C">
              <w:rPr>
                <w:rFonts w:cs="宋体" w:hint="eastAsia"/>
                <w:b/>
                <w:kern w:val="0"/>
                <w:sz w:val="24"/>
                <w:szCs w:val="24"/>
              </w:rPr>
              <w:t>(</w:t>
            </w:r>
            <w:r w:rsidRPr="0004290C">
              <w:rPr>
                <w:rFonts w:cs="宋体" w:hint="eastAsia"/>
                <w:b/>
                <w:kern w:val="0"/>
                <w:sz w:val="24"/>
                <w:szCs w:val="24"/>
              </w:rPr>
              <w:t>权重</w:t>
            </w:r>
            <w:r w:rsidRPr="0004290C">
              <w:rPr>
                <w:rFonts w:cs="宋体" w:hint="eastAsia"/>
                <w:b/>
                <w:kern w:val="0"/>
                <w:sz w:val="24"/>
                <w:szCs w:val="24"/>
              </w:rPr>
              <w:t>5%)</w:t>
            </w:r>
          </w:p>
        </w:tc>
        <w:tc>
          <w:tcPr>
            <w:tcW w:w="58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widowControl/>
              <w:ind w:left="150" w:right="150"/>
              <w:jc w:val="center"/>
              <w:rPr>
                <w:rFonts w:cs="宋体"/>
                <w:b/>
                <w:kern w:val="0"/>
                <w:sz w:val="24"/>
                <w:szCs w:val="24"/>
              </w:rPr>
            </w:pPr>
            <w:r w:rsidRPr="0004290C">
              <w:rPr>
                <w:rFonts w:cs="宋体" w:hint="eastAsia"/>
                <w:b/>
                <w:kern w:val="0"/>
                <w:sz w:val="24"/>
                <w:szCs w:val="24"/>
              </w:rPr>
              <w:t>建议及下一步规划</w:t>
            </w:r>
          </w:p>
        </w:tc>
        <w:tc>
          <w:tcPr>
            <w:tcW w:w="2401" w:type="pct"/>
            <w:tcBorders>
              <w:top w:val="single" w:sz="4" w:space="0" w:color="auto"/>
              <w:left w:val="single" w:sz="4" w:space="0" w:color="auto"/>
              <w:bottom w:val="single" w:sz="4" w:space="0" w:color="auto"/>
              <w:right w:val="single" w:sz="4" w:space="0" w:color="auto"/>
            </w:tcBorders>
            <w:vAlign w:val="center"/>
          </w:tcPr>
          <w:p w:rsidR="008F495A" w:rsidRPr="0004290C" w:rsidRDefault="00AF59AB" w:rsidP="00B10DD5">
            <w:pPr>
              <w:widowControl/>
              <w:ind w:left="150" w:right="150"/>
              <w:jc w:val="left"/>
              <w:rPr>
                <w:rFonts w:cs="宋体"/>
                <w:b/>
                <w:kern w:val="0"/>
                <w:sz w:val="24"/>
                <w:szCs w:val="24"/>
              </w:rPr>
            </w:pPr>
            <w:r>
              <w:rPr>
                <w:rFonts w:cs="宋体" w:hint="eastAsia"/>
                <w:b/>
                <w:kern w:val="0"/>
                <w:sz w:val="24"/>
                <w:szCs w:val="24"/>
              </w:rPr>
              <w:t>对专项资金项目有合理化</w:t>
            </w:r>
            <w:r w:rsidR="008F495A" w:rsidRPr="0004290C">
              <w:rPr>
                <w:rFonts w:cs="宋体" w:hint="eastAsia"/>
                <w:b/>
                <w:kern w:val="0"/>
                <w:sz w:val="24"/>
                <w:szCs w:val="24"/>
              </w:rPr>
              <w:t>建议，对实施项目下一步工作有科学、可持续发展的措施和规划。</w:t>
            </w:r>
          </w:p>
        </w:tc>
        <w:tc>
          <w:tcPr>
            <w:tcW w:w="100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rPr>
                <w:rFonts w:ascii="宋体"/>
                <w:b/>
                <w:sz w:val="24"/>
                <w:szCs w:val="24"/>
              </w:rPr>
            </w:pPr>
            <w:r w:rsidRPr="0004290C">
              <w:rPr>
                <w:rFonts w:ascii="宋体" w:hint="eastAsia"/>
                <w:b/>
                <w:sz w:val="24"/>
                <w:szCs w:val="24"/>
              </w:rPr>
              <w:t>由项目单位提供材料，在总结报告中体现。</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r w:rsidRPr="0004290C">
              <w:rPr>
                <w:rFonts w:ascii="宋体" w:hint="eastAsia"/>
                <w:b/>
                <w:sz w:val="24"/>
                <w:szCs w:val="24"/>
              </w:rPr>
              <w:t>5</w:t>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r w:rsidR="008F495A" w:rsidRPr="0004290C" w:rsidTr="00B10DD5">
        <w:trPr>
          <w:cantSplit/>
          <w:trHeight w:val="738"/>
        </w:trPr>
        <w:tc>
          <w:tcPr>
            <w:tcW w:w="4439" w:type="pct"/>
            <w:gridSpan w:val="4"/>
            <w:tcBorders>
              <w:left w:val="single" w:sz="4" w:space="0" w:color="auto"/>
              <w:bottom w:val="single" w:sz="4" w:space="0" w:color="auto"/>
              <w:right w:val="single" w:sz="4" w:space="0" w:color="auto"/>
            </w:tcBorders>
            <w:vAlign w:val="center"/>
          </w:tcPr>
          <w:p w:rsidR="008F495A" w:rsidRPr="0004290C" w:rsidRDefault="008F495A" w:rsidP="00B10DD5">
            <w:pPr>
              <w:adjustRightInd w:val="0"/>
              <w:snapToGrid w:val="0"/>
              <w:jc w:val="center"/>
              <w:rPr>
                <w:rFonts w:ascii="宋体"/>
                <w:b/>
                <w:sz w:val="24"/>
                <w:szCs w:val="24"/>
              </w:rPr>
            </w:pPr>
            <w:r w:rsidRPr="0004290C">
              <w:rPr>
                <w:rFonts w:hint="eastAsia"/>
                <w:b/>
                <w:sz w:val="24"/>
                <w:szCs w:val="24"/>
              </w:rPr>
              <w:t>合计</w:t>
            </w:r>
          </w:p>
        </w:tc>
        <w:tc>
          <w:tcPr>
            <w:tcW w:w="301" w:type="pct"/>
            <w:tcBorders>
              <w:top w:val="single" w:sz="4" w:space="0" w:color="auto"/>
              <w:left w:val="single" w:sz="4" w:space="0" w:color="auto"/>
              <w:bottom w:val="single" w:sz="4" w:space="0" w:color="auto"/>
              <w:right w:val="single" w:sz="4" w:space="0" w:color="auto"/>
            </w:tcBorders>
            <w:vAlign w:val="center"/>
          </w:tcPr>
          <w:p w:rsidR="008F495A" w:rsidRPr="0004290C" w:rsidRDefault="00057A84" w:rsidP="00B10DD5">
            <w:pPr>
              <w:jc w:val="center"/>
              <w:rPr>
                <w:rFonts w:ascii="宋体"/>
                <w:b/>
                <w:sz w:val="24"/>
                <w:szCs w:val="24"/>
              </w:rPr>
            </w:pPr>
            <w:r>
              <w:rPr>
                <w:rFonts w:ascii="宋体"/>
                <w:b/>
                <w:sz w:val="24"/>
                <w:szCs w:val="24"/>
              </w:rPr>
              <w:fldChar w:fldCharType="begin"/>
            </w:r>
            <w:r w:rsidR="008F495A">
              <w:rPr>
                <w:rFonts w:ascii="宋体"/>
                <w:b/>
                <w:sz w:val="24"/>
                <w:szCs w:val="24"/>
              </w:rPr>
              <w:instrText xml:space="preserve"> </w:instrText>
            </w:r>
            <w:r w:rsidR="008F495A">
              <w:rPr>
                <w:rFonts w:ascii="宋体" w:hint="eastAsia"/>
                <w:b/>
                <w:sz w:val="24"/>
                <w:szCs w:val="24"/>
              </w:rPr>
              <w:instrText>=SUM(ABOVE)</w:instrText>
            </w:r>
            <w:r w:rsidR="008F495A">
              <w:rPr>
                <w:rFonts w:ascii="宋体"/>
                <w:b/>
                <w:sz w:val="24"/>
                <w:szCs w:val="24"/>
              </w:rPr>
              <w:instrText xml:space="preserve"> </w:instrText>
            </w:r>
            <w:r>
              <w:rPr>
                <w:rFonts w:ascii="宋体"/>
                <w:b/>
                <w:sz w:val="24"/>
                <w:szCs w:val="24"/>
              </w:rPr>
              <w:fldChar w:fldCharType="separate"/>
            </w:r>
            <w:r w:rsidR="008F495A">
              <w:rPr>
                <w:rFonts w:ascii="宋体"/>
                <w:b/>
                <w:noProof/>
                <w:sz w:val="24"/>
                <w:szCs w:val="24"/>
              </w:rPr>
              <w:t>100</w:t>
            </w:r>
            <w:r>
              <w:rPr>
                <w:rFonts w:ascii="宋体"/>
                <w:b/>
                <w:sz w:val="24"/>
                <w:szCs w:val="24"/>
              </w:rPr>
              <w:fldChar w:fldCharType="end"/>
            </w:r>
          </w:p>
        </w:tc>
        <w:tc>
          <w:tcPr>
            <w:tcW w:w="260" w:type="pct"/>
            <w:tcBorders>
              <w:top w:val="single" w:sz="4" w:space="0" w:color="auto"/>
              <w:left w:val="single" w:sz="4" w:space="0" w:color="auto"/>
              <w:bottom w:val="single" w:sz="4" w:space="0" w:color="auto"/>
              <w:right w:val="single" w:sz="4" w:space="0" w:color="auto"/>
            </w:tcBorders>
            <w:vAlign w:val="center"/>
          </w:tcPr>
          <w:p w:rsidR="008F495A" w:rsidRPr="0004290C" w:rsidRDefault="008F495A" w:rsidP="00B10DD5">
            <w:pPr>
              <w:jc w:val="center"/>
              <w:rPr>
                <w:rFonts w:ascii="宋体"/>
                <w:b/>
                <w:sz w:val="24"/>
                <w:szCs w:val="24"/>
              </w:rPr>
            </w:pPr>
          </w:p>
        </w:tc>
      </w:tr>
    </w:tbl>
    <w:p w:rsidR="008F495A" w:rsidRDefault="008F495A" w:rsidP="008F495A">
      <w:pPr>
        <w:spacing w:line="360" w:lineRule="auto"/>
        <w:ind w:firstLine="470"/>
        <w:rPr>
          <w:sz w:val="24"/>
          <w:szCs w:val="24"/>
        </w:rPr>
      </w:pPr>
    </w:p>
    <w:p w:rsidR="009D7EB6" w:rsidRDefault="009D7EB6" w:rsidP="00823DC1">
      <w:pPr>
        <w:ind w:left="359" w:firstLine="412"/>
      </w:pPr>
    </w:p>
    <w:sectPr w:rsidR="009D7EB6" w:rsidSect="00FD3509">
      <w:headerReference w:type="even" r:id="rId6"/>
      <w:headerReference w:type="default" r:id="rId7"/>
      <w:footerReference w:type="even" r:id="rId8"/>
      <w:footerReference w:type="default" r:id="rId9"/>
      <w:headerReference w:type="first" r:id="rId10"/>
      <w:footerReference w:type="first" r:id="rId11"/>
      <w:pgSz w:w="16838" w:h="11906" w:orient="landscape" w:code="9"/>
      <w:pgMar w:top="1418" w:right="1440" w:bottom="141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E97" w:rsidRDefault="005E1E97" w:rsidP="00CD2B30">
      <w:r>
        <w:separator/>
      </w:r>
    </w:p>
  </w:endnote>
  <w:endnote w:type="continuationSeparator" w:id="0">
    <w:p w:rsidR="005E1E97" w:rsidRDefault="005E1E97" w:rsidP="00CD2B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BC7" w:rsidRDefault="00DF5BC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553" w:rsidRDefault="00057A84">
    <w:pPr>
      <w:pStyle w:val="a3"/>
      <w:framePr w:wrap="auto" w:vAnchor="text" w:hAnchor="margin" w:xAlign="center" w:y="1"/>
      <w:rPr>
        <w:rStyle w:val="a4"/>
      </w:rPr>
    </w:pPr>
    <w:r>
      <w:rPr>
        <w:rStyle w:val="a4"/>
      </w:rPr>
      <w:fldChar w:fldCharType="begin"/>
    </w:r>
    <w:r w:rsidR="008F495A">
      <w:rPr>
        <w:rStyle w:val="a4"/>
      </w:rPr>
      <w:instrText xml:space="preserve">PAGE  </w:instrText>
    </w:r>
    <w:r>
      <w:rPr>
        <w:rStyle w:val="a4"/>
      </w:rPr>
      <w:fldChar w:fldCharType="separate"/>
    </w:r>
    <w:r w:rsidR="00AF59AB">
      <w:rPr>
        <w:rStyle w:val="a4"/>
        <w:noProof/>
      </w:rPr>
      <w:t>3</w:t>
    </w:r>
    <w:r>
      <w:rPr>
        <w:rStyle w:val="a4"/>
      </w:rPr>
      <w:fldChar w:fldCharType="end"/>
    </w:r>
  </w:p>
  <w:p w:rsidR="00BB0553" w:rsidRDefault="005E1E97">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BC7" w:rsidRDefault="00DF5BC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E97" w:rsidRDefault="005E1E97" w:rsidP="00CD2B30">
      <w:r>
        <w:separator/>
      </w:r>
    </w:p>
  </w:footnote>
  <w:footnote w:type="continuationSeparator" w:id="0">
    <w:p w:rsidR="005E1E97" w:rsidRDefault="005E1E97" w:rsidP="00CD2B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BC7" w:rsidRDefault="00DF5BC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BC7" w:rsidRPr="00DF5BC7" w:rsidRDefault="00DF5BC7" w:rsidP="00DF5BC7"/>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BC7" w:rsidRDefault="00DF5BC7">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495A"/>
    <w:rsid w:val="00057A84"/>
    <w:rsid w:val="000D2E86"/>
    <w:rsid w:val="000E6C3F"/>
    <w:rsid w:val="00117C57"/>
    <w:rsid w:val="0013404D"/>
    <w:rsid w:val="00242B68"/>
    <w:rsid w:val="002A50F6"/>
    <w:rsid w:val="005E1E97"/>
    <w:rsid w:val="006D73D6"/>
    <w:rsid w:val="00733BBC"/>
    <w:rsid w:val="00777FC0"/>
    <w:rsid w:val="00823DC1"/>
    <w:rsid w:val="008F495A"/>
    <w:rsid w:val="00995533"/>
    <w:rsid w:val="009D7EB6"/>
    <w:rsid w:val="00A07FB8"/>
    <w:rsid w:val="00A1469F"/>
    <w:rsid w:val="00AF59AB"/>
    <w:rsid w:val="00BA3BC5"/>
    <w:rsid w:val="00C74A42"/>
    <w:rsid w:val="00CD2B30"/>
    <w:rsid w:val="00DF5B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right="147" w:firstLineChars="196" w:firstLine="19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5A"/>
    <w:pPr>
      <w:widowControl w:val="0"/>
      <w:ind w:right="0" w:firstLineChars="0" w:firstLine="0"/>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8F495A"/>
    <w:pPr>
      <w:tabs>
        <w:tab w:val="center" w:pos="4153"/>
        <w:tab w:val="right" w:pos="8306"/>
      </w:tabs>
      <w:snapToGrid w:val="0"/>
      <w:jc w:val="left"/>
    </w:pPr>
    <w:rPr>
      <w:sz w:val="18"/>
      <w:szCs w:val="18"/>
    </w:rPr>
  </w:style>
  <w:style w:type="character" w:customStyle="1" w:styleId="Char">
    <w:name w:val="页脚 Char"/>
    <w:basedOn w:val="a0"/>
    <w:link w:val="a3"/>
    <w:rsid w:val="008F495A"/>
    <w:rPr>
      <w:rFonts w:ascii="Times New Roman" w:eastAsia="宋体" w:hAnsi="Times New Roman" w:cs="Times New Roman"/>
      <w:sz w:val="18"/>
      <w:szCs w:val="18"/>
    </w:rPr>
  </w:style>
  <w:style w:type="character" w:styleId="a4">
    <w:name w:val="page number"/>
    <w:basedOn w:val="a0"/>
    <w:rsid w:val="008F495A"/>
    <w:rPr>
      <w:rFonts w:cs="Times New Roman"/>
    </w:rPr>
  </w:style>
  <w:style w:type="paragraph" w:styleId="a5">
    <w:name w:val="header"/>
    <w:basedOn w:val="a"/>
    <w:link w:val="Char0"/>
    <w:uiPriority w:val="99"/>
    <w:semiHidden/>
    <w:unhideWhenUsed/>
    <w:rsid w:val="00DF5B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DF5BC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hx</dc:creator>
  <cp:keywords/>
  <dc:description/>
  <cp:lastModifiedBy>hx</cp:lastModifiedBy>
  <cp:revision>6</cp:revision>
  <dcterms:created xsi:type="dcterms:W3CDTF">2014-10-13T01:43:00Z</dcterms:created>
  <dcterms:modified xsi:type="dcterms:W3CDTF">2014-10-15T06:33:00Z</dcterms:modified>
</cp:coreProperties>
</file>